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86" w:rsidRPr="002E2286" w:rsidRDefault="002E2286" w:rsidP="002E2286">
      <w:pPr>
        <w:rPr>
          <w:b/>
          <w:sz w:val="24"/>
        </w:rPr>
      </w:pPr>
      <w:r w:rsidRPr="002E2286">
        <w:rPr>
          <w:b/>
          <w:sz w:val="24"/>
        </w:rPr>
        <w:t>Unterstreiche in folgendem Text alle Prädikatsteile/verbalen Teile.</w:t>
      </w:r>
    </w:p>
    <w:p w:rsidR="00430DF2" w:rsidRPr="002E2286" w:rsidRDefault="00430DF2" w:rsidP="002E2286">
      <w:pPr>
        <w:pStyle w:val="Titel"/>
        <w:rPr>
          <w:sz w:val="28"/>
        </w:rPr>
      </w:pPr>
      <w:r w:rsidRPr="002E2286">
        <w:rPr>
          <w:sz w:val="28"/>
        </w:rPr>
        <w:t>Die sprechenden Bäume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  <w:r>
              <w:t>1</w:t>
            </w:r>
          </w:p>
        </w:tc>
        <w:tc>
          <w:tcPr>
            <w:tcW w:w="8364" w:type="dxa"/>
          </w:tcPr>
          <w:p w:rsidR="001B6343" w:rsidRPr="001B6343" w:rsidRDefault="001B6343" w:rsidP="00932F78">
            <w:pPr>
              <w:tabs>
                <w:tab w:val="right" w:pos="8148"/>
              </w:tabs>
              <w:spacing w:afterLines="160" w:after="384"/>
            </w:pPr>
            <w:r w:rsidRPr="001B6343">
              <w:t xml:space="preserve">Ein Bauer ging in den Wald Holz schlagen. Er trat zuerst an eine Fichte </w:t>
            </w:r>
            <w:r w:rsidR="00932F78">
              <w:tab/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 xml:space="preserve">heran und gedachte sie zu fällen. Aber aus der Fichte klang ihm eine 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 xml:space="preserve">Stimme entgegen: Fälle mich nicht! Siehst du nicht, wie mir schon die 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 xml:space="preserve">Tränen zäh aus dem Stamme dringen? Du </w:t>
            </w:r>
            <w:proofErr w:type="spellStart"/>
            <w:r w:rsidRPr="001B6343">
              <w:t>wirst’s</w:t>
            </w:r>
            <w:proofErr w:type="spellEnd"/>
            <w:r w:rsidRPr="001B6343">
              <w:t xml:space="preserve"> erfahren, welchen 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  <w:r>
              <w:t>5</w:t>
            </w: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Schaden du leidest, wenn du mir das Leben nimmst! – Da trat der Mann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zu einer Tanne und gedachte die zu fällen, aber die Seele der Tanne rief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ihm entgegen: Strecke mich nicht nieder, von mir hast du nur geringen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Nutzen, denn mein Holz ist knorrig und ästig! – Verdriesslich ging der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Mann zu einem dritten Baume und wollte jetzt die Erle fällen. Der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  <w:r>
              <w:t>10</w:t>
            </w: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Baumgeist aber schrie: Hüte dich, mich zu berühren! Mit jedem Schlage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strömt Blut aus meinem Herzen und Blut wird meinen Stamm und deine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Axt färben! – Auf diese Gegenreden ward der Mann ganz bekümmert,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liess ab von seinen Versuchen, einen Baum zu fällen, und schickte sich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 xml:space="preserve">zum Heimweg an. Als er aus dem Walde trat, kam ihm </w:t>
            </w:r>
            <w:r w:rsidRPr="001B6343">
              <w:rPr>
                <w:i/>
                <w:iCs/>
              </w:rPr>
              <w:t>Jesus</w:t>
            </w:r>
            <w:r w:rsidRPr="001B6343">
              <w:t xml:space="preserve"> entgegen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  <w:r>
              <w:t>15</w:t>
            </w: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und fragte ihn, warum er so bekümmert wäre? Er erzählte sein Erlebnis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im Walde. Da antwortete ihm der Herr: Kehre nur um und schlage nieder,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was dir vorkommt, denn von heute an will ich den Bäumen alle Sprache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und Gegenrede nehmen! – Also geschah es, und seitdem erkühnt sich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kein Baum, seine Stimme wider des Menschen Axt zu erheben. Dennoch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  <w:r>
              <w:lastRenderedPageBreak/>
              <w:t>20</w:t>
            </w: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 xml:space="preserve">vernimmt man im Walde noch ein leises Säuseln und </w:t>
            </w:r>
            <w:proofErr w:type="spellStart"/>
            <w:r w:rsidRPr="001B6343">
              <w:t>Blättergerausche</w:t>
            </w:r>
            <w:proofErr w:type="spellEnd"/>
            <w:r w:rsidRPr="001B6343">
              <w:t>,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wenn die Bäume still miteinander flüstern.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 xml:space="preserve">Als nun die erste Tanne niedergehauen ward, vergoss sie bittere </w:t>
            </w:r>
            <w:proofErr w:type="spellStart"/>
            <w:r w:rsidRPr="001B6343">
              <w:t>Zähren</w:t>
            </w:r>
            <w:proofErr w:type="spellEnd"/>
            <w:r w:rsidRPr="001B6343">
              <w:t>,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die hernach zu Harz erstarrten. Der Schmerz der Mutter ging aber ihren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Kindern, den Tannenzapfen, tief zu Herzen und sie sprachen zu ihr: Weine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  <w:r>
              <w:t>25</w:t>
            </w: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nicht, liebe Mutter, wir wollen es dem Menschen, der dich so erbarmungslos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getötet, bös vergelten! Da verwandelten sich die Schuppen der Zapfen in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Wanzen und krochen in die Häuser der Menschen, wo sie die Menschen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932F78">
            <w:pPr>
              <w:spacing w:afterLines="160" w:after="384"/>
            </w:pPr>
          </w:p>
        </w:tc>
        <w:tc>
          <w:tcPr>
            <w:tcW w:w="8364" w:type="dxa"/>
          </w:tcPr>
          <w:p w:rsidR="001B6343" w:rsidRPr="001B6343" w:rsidRDefault="001B6343" w:rsidP="00932F78">
            <w:pPr>
              <w:spacing w:afterLines="160" w:after="384"/>
            </w:pPr>
            <w:r w:rsidRPr="001B6343">
              <w:t>noch heutzutage quälen und plagen.</w:t>
            </w:r>
          </w:p>
        </w:tc>
      </w:tr>
    </w:tbl>
    <w:p w:rsidR="00FA6B44" w:rsidRDefault="00ED3AE6" w:rsidP="00430DF2">
      <w:pPr>
        <w:rPr>
          <w:lang w:eastAsia="de-CH"/>
        </w:rPr>
      </w:pPr>
      <w:r>
        <w:t xml:space="preserve">(Quelle: </w:t>
      </w:r>
      <w:proofErr w:type="spellStart"/>
      <w:r w:rsidR="00430DF2" w:rsidRPr="00430DF2">
        <w:rPr>
          <w:lang w:eastAsia="de-CH"/>
        </w:rPr>
        <w:t>Esthnische</w:t>
      </w:r>
      <w:proofErr w:type="spellEnd"/>
      <w:r w:rsidR="00430DF2" w:rsidRPr="00430DF2">
        <w:rPr>
          <w:lang w:eastAsia="de-CH"/>
        </w:rPr>
        <w:t xml:space="preserve"> Märchen.</w:t>
      </w:r>
      <w:r w:rsidR="00430DF2">
        <w:rPr>
          <w:lang w:eastAsia="de-CH"/>
        </w:rPr>
        <w:t xml:space="preserve"> Von Harry </w:t>
      </w:r>
      <w:proofErr w:type="spellStart"/>
      <w:r w:rsidR="00430DF2">
        <w:rPr>
          <w:lang w:eastAsia="de-CH"/>
        </w:rPr>
        <w:t>Jannsen</w:t>
      </w:r>
      <w:proofErr w:type="spellEnd"/>
      <w:r w:rsidR="00430DF2">
        <w:rPr>
          <w:lang w:eastAsia="de-CH"/>
        </w:rPr>
        <w:t xml:space="preserve">. Gefunden am 30.4.2012 unter </w:t>
      </w:r>
      <w:hyperlink r:id="rId7" w:history="1">
        <w:r w:rsidR="00430DF2" w:rsidRPr="00C90BE7">
          <w:rPr>
            <w:rStyle w:val="Hyperlink"/>
            <w:lang w:eastAsia="de-CH"/>
          </w:rPr>
          <w:t>http://de.wikisource.org/wiki/Esthnische_M%C3%A4rchen</w:t>
        </w:r>
      </w:hyperlink>
      <w:r w:rsidR="00603E71">
        <w:rPr>
          <w:lang w:eastAsia="de-CH"/>
        </w:rPr>
        <w:t>)</w:t>
      </w:r>
    </w:p>
    <w:p w:rsidR="007363E8" w:rsidRDefault="007363E8" w:rsidP="00430DF2">
      <w:pPr>
        <w:rPr>
          <w:lang w:eastAsia="de-CH"/>
        </w:rPr>
      </w:pPr>
    </w:p>
    <w:p w:rsidR="007363E8" w:rsidRDefault="007363E8" w:rsidP="00430DF2">
      <w:pPr>
        <w:rPr>
          <w:lang w:eastAsia="de-CH"/>
        </w:rPr>
      </w:pPr>
    </w:p>
    <w:p w:rsidR="007363E8" w:rsidRDefault="007363E8" w:rsidP="00430DF2">
      <w:pPr>
        <w:rPr>
          <w:lang w:eastAsia="de-CH"/>
        </w:rPr>
      </w:pPr>
    </w:p>
    <w:p w:rsidR="007363E8" w:rsidRDefault="007363E8" w:rsidP="00430DF2">
      <w:pPr>
        <w:rPr>
          <w:lang w:eastAsia="de-CH"/>
        </w:rPr>
      </w:pPr>
    </w:p>
    <w:p w:rsidR="007363E8" w:rsidRDefault="007363E8" w:rsidP="007363E8"/>
    <w:p w:rsidR="007363E8" w:rsidRDefault="007363E8" w:rsidP="00430DF2">
      <w:pPr>
        <w:rPr>
          <w:lang w:eastAsia="de-CH"/>
        </w:rPr>
      </w:pPr>
    </w:p>
    <w:sectPr w:rsidR="007363E8" w:rsidSect="0060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40" w:rsidRDefault="00046F40" w:rsidP="00046F40">
      <w:pPr>
        <w:spacing w:after="0" w:line="240" w:lineRule="auto"/>
      </w:pPr>
      <w:r>
        <w:separator/>
      </w:r>
    </w:p>
  </w:endnote>
  <w:endnote w:type="continuationSeparator" w:id="0">
    <w:p w:rsidR="00046F40" w:rsidRDefault="00046F40" w:rsidP="0004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2" w:rsidRDefault="00CF71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40" w:rsidRPr="00CF71D2" w:rsidRDefault="00046F40">
    <w:pPr>
      <w:pStyle w:val="Fuzeile"/>
      <w:rPr>
        <w:sz w:val="12"/>
        <w:szCs w:val="16"/>
      </w:rPr>
    </w:pPr>
    <w:fldSimple w:instr=" FILENAME   \* MERGEFORMAT ">
      <w:r w:rsidRPr="00046F40">
        <w:rPr>
          <w:noProof/>
          <w:sz w:val="16"/>
          <w:szCs w:val="16"/>
        </w:rPr>
        <w:t>SatzgliederPraedikatDie-sprechenden-Baeume</w:t>
      </w:r>
    </w:fldSimple>
    <w:r w:rsidR="00CF71D2">
      <w:rPr>
        <w:noProof/>
        <w:sz w:val="16"/>
        <w:szCs w:val="16"/>
      </w:rPr>
      <w:tab/>
    </w:r>
    <w:bookmarkStart w:id="0" w:name="_GoBack"/>
    <w:r w:rsidR="00CF71D2" w:rsidRPr="00CF71D2">
      <w:rPr>
        <w:noProof/>
        <w:sz w:val="12"/>
        <w:szCs w:val="16"/>
      </w:rPr>
      <w:tab/>
    </w:r>
    <w:r w:rsidR="00CF71D2" w:rsidRPr="00CF71D2">
      <w:rPr>
        <w:sz w:val="18"/>
      </w:rPr>
      <w:t xml:space="preserve">© </w:t>
    </w:r>
    <w:r w:rsidR="00CF71D2" w:rsidRPr="00CF71D2">
      <w:rPr>
        <w:rFonts w:ascii="Helvetica" w:hAnsi="Helvetica" w:cs="Helvetica"/>
        <w:sz w:val="16"/>
        <w:szCs w:val="20"/>
      </w:rPr>
      <w:t>Bildungsdepartement des Kantons St. Gallen. 2012. Alle Rechte vorbehalten.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2" w:rsidRDefault="00CF71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40" w:rsidRDefault="00046F40" w:rsidP="00046F40">
      <w:pPr>
        <w:spacing w:after="0" w:line="240" w:lineRule="auto"/>
      </w:pPr>
      <w:r>
        <w:separator/>
      </w:r>
    </w:p>
  </w:footnote>
  <w:footnote w:type="continuationSeparator" w:id="0">
    <w:p w:rsidR="00046F40" w:rsidRDefault="00046F40" w:rsidP="0004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2" w:rsidRDefault="00CF71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40" w:rsidRPr="00046F40" w:rsidRDefault="00046F40" w:rsidP="00046F40">
    <w:pPr>
      <w:pStyle w:val="Kopfzeile"/>
      <w:pBdr>
        <w:bottom w:val="single" w:sz="4" w:space="1" w:color="auto"/>
      </w:pBdr>
      <w:tabs>
        <w:tab w:val="right" w:pos="9639"/>
      </w:tabs>
    </w:pPr>
    <w:proofErr w:type="spellStart"/>
    <w:r w:rsidRPr="001928EC">
      <w:t>Gymbasis</w:t>
    </w:r>
    <w:proofErr w:type="spellEnd"/>
    <w:r w:rsidRPr="001928EC">
      <w:t xml:space="preserve"> Deutsch: </w:t>
    </w:r>
    <w:r>
      <w:t>Grammatik</w:t>
    </w:r>
    <w:r w:rsidRPr="001928EC">
      <w:t xml:space="preserve"> – </w:t>
    </w:r>
    <w:r>
      <w:t>Satzlehre – Prädikatsteile/verbale Teile</w:t>
    </w:r>
    <w:r w:rsidRPr="001928EC">
      <w:tab/>
    </w:r>
    <w:sdt>
      <w:sdtPr>
        <w:id w:val="658139"/>
        <w:docPartObj>
          <w:docPartGallery w:val="Page Numbers (Top of Page)"/>
          <w:docPartUnique/>
        </w:docPartObj>
      </w:sdtPr>
      <w:sdtEndPr/>
      <w:sdtContent>
        <w:r w:rsidRPr="001928EC">
          <w:fldChar w:fldCharType="begin"/>
        </w:r>
        <w:r w:rsidRPr="001928EC">
          <w:instrText xml:space="preserve"> PAGE   \* MERGEFORMAT </w:instrText>
        </w:r>
        <w:r w:rsidRPr="001928EC">
          <w:fldChar w:fldCharType="separate"/>
        </w:r>
        <w:r w:rsidR="00CF71D2">
          <w:rPr>
            <w:noProof/>
          </w:rPr>
          <w:t>2</w:t>
        </w:r>
        <w:r w:rsidRPr="001928EC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D2" w:rsidRDefault="00CF71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E6"/>
    <w:rsid w:val="00046F40"/>
    <w:rsid w:val="001506FD"/>
    <w:rsid w:val="001B6343"/>
    <w:rsid w:val="00240C9C"/>
    <w:rsid w:val="002E2286"/>
    <w:rsid w:val="00430DF2"/>
    <w:rsid w:val="00603E71"/>
    <w:rsid w:val="007363E8"/>
    <w:rsid w:val="00932F78"/>
    <w:rsid w:val="00CF71D2"/>
    <w:rsid w:val="00ED3AE6"/>
    <w:rsid w:val="00F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D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ED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3AE6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AE6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E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ED3AE6"/>
    <w:rPr>
      <w:color w:val="0000FF" w:themeColor="hyperlink"/>
      <w:u w:val="single"/>
    </w:rPr>
  </w:style>
  <w:style w:type="character" w:customStyle="1" w:styleId="pagenumber">
    <w:name w:val="pagenumber"/>
    <w:basedOn w:val="Absatz-Standardschriftart"/>
    <w:rsid w:val="00430DF2"/>
  </w:style>
  <w:style w:type="paragraph" w:styleId="Titel">
    <w:name w:val="Title"/>
    <w:basedOn w:val="Standard"/>
    <w:next w:val="Standard"/>
    <w:link w:val="TitelZchn"/>
    <w:uiPriority w:val="10"/>
    <w:qFormat/>
    <w:rsid w:val="002E2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2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1B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6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F40"/>
  </w:style>
  <w:style w:type="paragraph" w:styleId="Fuzeile">
    <w:name w:val="footer"/>
    <w:basedOn w:val="Standard"/>
    <w:link w:val="FuzeileZchn"/>
    <w:uiPriority w:val="99"/>
    <w:unhideWhenUsed/>
    <w:rsid w:val="0004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D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ED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3AE6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AE6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E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ED3AE6"/>
    <w:rPr>
      <w:color w:val="0000FF" w:themeColor="hyperlink"/>
      <w:u w:val="single"/>
    </w:rPr>
  </w:style>
  <w:style w:type="character" w:customStyle="1" w:styleId="pagenumber">
    <w:name w:val="pagenumber"/>
    <w:basedOn w:val="Absatz-Standardschriftart"/>
    <w:rsid w:val="00430DF2"/>
  </w:style>
  <w:style w:type="paragraph" w:styleId="Titel">
    <w:name w:val="Title"/>
    <w:basedOn w:val="Standard"/>
    <w:next w:val="Standard"/>
    <w:link w:val="TitelZchn"/>
    <w:uiPriority w:val="10"/>
    <w:qFormat/>
    <w:rsid w:val="002E2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2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1B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6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F40"/>
  </w:style>
  <w:style w:type="paragraph" w:styleId="Fuzeile">
    <w:name w:val="footer"/>
    <w:basedOn w:val="Standard"/>
    <w:link w:val="FuzeileZchn"/>
    <w:uiPriority w:val="99"/>
    <w:unhideWhenUsed/>
    <w:rsid w:val="0004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.wikisource.org/wiki/Esthnische_M%C3%A4rche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Looser</dc:creator>
  <cp:lastModifiedBy>Roman Looser</cp:lastModifiedBy>
  <cp:revision>6</cp:revision>
  <cp:lastPrinted>2012-04-29T05:47:00Z</cp:lastPrinted>
  <dcterms:created xsi:type="dcterms:W3CDTF">2012-04-29T05:51:00Z</dcterms:created>
  <dcterms:modified xsi:type="dcterms:W3CDTF">2012-08-29T04:56:00Z</dcterms:modified>
</cp:coreProperties>
</file>